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4E79"/>
          <w:sz w:val="40"/>
        </w:rPr>
        <w:t>Historia clínica odontológica</w:t>
      </w:r>
    </w:p>
    <w:p>
      <w:pPr>
        <w:spacing w:after="80"/>
      </w:pPr>
      <w:r>
        <w:rPr>
          <w:color w:val="555555"/>
          <w:sz w:val="20"/>
        </w:rPr>
        <w:t>Modelo editable para un paciente nuevo · Versión 1.0 · noviembre de 2026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C9A227"/>
          <w:left w:val="single" w:sz="6" w:space="0" w:color="C9A227"/>
          <w:bottom w:val="single" w:sz="6" w:space="0" w:color="C9A227"/>
          <w:right w:val="single" w:sz="6" w:space="0" w:color="C9A227"/>
          <w:insideH w:val="single" w:sz="6" w:space="0" w:color="C9A227"/>
          <w:insideV w:val="single" w:sz="6" w:space="0" w:color="C9A227"/>
        </w:tblBorders>
        <w:tblLayout w:type="fixed"/>
      </w:tblPr>
      <w:tblGrid>
        <w:gridCol w:w="9866"/>
      </w:tblGrid>
      <w:tr>
        <w:tc>
          <w:tcPr>
            <w:tcW w:type="dxa" w:w="9865"/>
            <w:shd w:val="clear" w:color="auto" w:fill="FFF8E1"/>
          </w:tcPr>
          <w:p>
            <w:pPr>
              <w:spacing w:after="20" w:before="20"/>
            </w:pPr>
            <w:r/>
            <w:r>
              <w:rPr>
                <w:b w:val="0"/>
                <w:i/>
                <w:sz w:val="17"/>
              </w:rPr>
              <w:t>Modelo orientativo preparado por DentalSoft a partir de lo que enumera el artículo 15 de la Ley 26.529 (texto sustituido por la Ley 26.812). Debe ser revisado y adaptado por el profesional odontólogo responsable, según su criterio clínico y la normativa de su jurisdicción. No constituye asesoramiento legal ni reemplaza la reglamentación vigente.</w:t>
            </w:r>
          </w:p>
        </w:tc>
      </w:tr>
    </w:tbl>
    <w:p>
      <w:pPr>
        <w:keepNext/>
        <w:spacing w:before="200" w:after="60"/>
        <w:pBdr>
          <w:bottom w:val="single" w:sz="6" w:space="1" w:color="1F4E79"/>
        </w:pBdr>
      </w:pPr>
      <w:r>
        <w:rPr>
          <w:b/>
          <w:color w:val="1F4E79"/>
          <w:sz w:val="22"/>
        </w:rPr>
        <w:t>1. Datos de la historia clínica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9AA9B8"/>
          <w:left w:val="single" w:sz="4" w:space="0" w:color="9AA9B8"/>
          <w:bottom w:val="single" w:sz="4" w:space="0" w:color="9AA9B8"/>
          <w:right w:val="single" w:sz="4" w:space="0" w:color="9AA9B8"/>
          <w:insideH w:val="single" w:sz="4" w:space="0" w:color="9AA9B8"/>
          <w:insideV w:val="single" w:sz="4" w:space="0" w:color="9AA9B8"/>
        </w:tblBorders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82" w:hRule="atLeast"/>
        </w:trPr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N.º de historia clínica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Fecha de inicio de la historia (art. 15, inc. a)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82" w:hRule="atLeast"/>
        </w:trPr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Consultorio o establecimiento</w:t>
            </w:r>
          </w:p>
        </w:tc>
        <w:tc>
          <w:tcPr>
            <w:tcW w:type="dxa" w:w="2721"/>
            <w:gridSpan w:val="3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keepNext/>
        <w:spacing w:before="200" w:after="60"/>
        <w:pBdr>
          <w:bottom w:val="single" w:sz="6" w:space="1" w:color="1F4E79"/>
        </w:pBdr>
      </w:pPr>
      <w:r>
        <w:rPr>
          <w:b/>
          <w:color w:val="1F4E79"/>
          <w:sz w:val="22"/>
        </w:rPr>
        <w:t>2. Datos del paciente y de su núcleo familiar (art. 15, inc. b)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9AA9B8"/>
          <w:left w:val="single" w:sz="4" w:space="0" w:color="9AA9B8"/>
          <w:bottom w:val="single" w:sz="4" w:space="0" w:color="9AA9B8"/>
          <w:right w:val="single" w:sz="4" w:space="0" w:color="9AA9B8"/>
          <w:insideH w:val="single" w:sz="4" w:space="0" w:color="9AA9B8"/>
          <w:insideV w:val="single" w:sz="4" w:space="0" w:color="9AA9B8"/>
        </w:tblBorders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82" w:hRule="atLeast"/>
        </w:trPr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Apellido y nombre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DNI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82" w:hRule="atLeast"/>
        </w:trPr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Fecha de nacimiento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Género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82" w:hRule="atLeast"/>
        </w:trPr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Domicilio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Localidad y provincia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82" w:hRule="atLeast"/>
        </w:trPr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Teléfono / WhatsApp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Correo electrónico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82" w:hRule="atLeast"/>
        </w:trPr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Obra social y plan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N.º de afiliado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82" w:hRule="atLeast"/>
        </w:trPr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Titular de la obra social (si no es el paciente)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Parentesco con el titular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82" w:hRule="atLeast"/>
        </w:trPr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Núcleo familiar (convivientes)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Contacto de emergencia: nombre y teléfono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82" w:hRule="atLeast"/>
        </w:trPr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Relación del contacto de emergencia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Acepta recibir recordatorios y mensajes   ☐ Sí   ☐ No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keepNext/>
        <w:spacing w:before="200" w:after="60"/>
        <w:pBdr>
          <w:bottom w:val="single" w:sz="6" w:space="1" w:color="1F4E79"/>
        </w:pBdr>
      </w:pPr>
      <w:r>
        <w:rPr>
          <w:b/>
          <w:color w:val="1F4E79"/>
          <w:sz w:val="22"/>
        </w:rPr>
        <w:t>3. Profesional interviniente (art. 15, inc. c)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9AA9B8"/>
          <w:left w:val="single" w:sz="4" w:space="0" w:color="9AA9B8"/>
          <w:bottom w:val="single" w:sz="4" w:space="0" w:color="9AA9B8"/>
          <w:right w:val="single" w:sz="4" w:space="0" w:color="9AA9B8"/>
          <w:insideH w:val="single" w:sz="4" w:space="0" w:color="9AA9B8"/>
          <w:insideV w:val="single" w:sz="4" w:space="0" w:color="9AA9B8"/>
        </w:tblBorders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82" w:hRule="atLeast"/>
        </w:trPr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Apellido y nombre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Especialidad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82" w:hRule="atLeast"/>
        </w:trPr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Matrícula profesional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11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Jurisdicción de la matrícula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keepNext/>
        <w:spacing w:before="200" w:after="60"/>
        <w:pBdr>
          <w:bottom w:val="single" w:sz="6" w:space="1" w:color="1F4E79"/>
        </w:pBdr>
      </w:pPr>
      <w:r>
        <w:rPr>
          <w:b/>
          <w:color w:val="1F4E79"/>
          <w:sz w:val="22"/>
        </w:rPr>
        <w:t>4. Motivo de consulta e historia actual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9AA9B8"/>
          <w:left w:val="single" w:sz="4" w:space="0" w:color="9AA9B8"/>
          <w:bottom w:val="single" w:sz="4" w:space="0" w:color="9AA9B8"/>
          <w:right w:val="single" w:sz="4" w:space="0" w:color="9AA9B8"/>
          <w:insideH w:val="single" w:sz="4" w:space="0" w:color="9AA9B8"/>
          <w:insideV w:val="single" w:sz="4" w:space="0" w:color="9AA9B8"/>
        </w:tblBorders>
        <w:tblLayout w:type="fixed"/>
      </w:tblPr>
      <w:tblGrid>
        <w:gridCol w:w="9866"/>
      </w:tblGrid>
      <w:tr>
        <w:tc>
          <w:tcPr>
            <w:tcW w:type="dxa" w:w="9865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Motivo de consulta (con las palabras del paciente)</w:t>
            </w:r>
          </w:p>
        </w:tc>
      </w:tr>
      <w:tr>
        <w:trPr>
          <w:trHeight w:val="1049" w:hRule="atLeast"/>
        </w:trPr>
        <w:tc>
          <w:tcPr>
            <w:tcW w:type="dxa" w:w="986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9865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Historia de la molestia o del problema actual (desde cuándo, cómo evolucionó, qué lo calma o lo empeora)</w:t>
            </w:r>
          </w:p>
        </w:tc>
      </w:tr>
      <w:tr>
        <w:trPr>
          <w:trHeight w:val="1361" w:hRule="atLeast"/>
        </w:trPr>
        <w:tc>
          <w:tcPr>
            <w:tcW w:type="dxa" w:w="986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keepNext/>
        <w:spacing w:before="200" w:after="60"/>
        <w:pBdr>
          <w:bottom w:val="single" w:sz="6" w:space="1" w:color="1F4E79"/>
        </w:pBdr>
      </w:pPr>
      <w:r>
        <w:rPr>
          <w:b/>
          <w:color w:val="1F4E79"/>
          <w:sz w:val="22"/>
        </w:rPr>
        <w:t>5. Antecedentes del paciente: anamnesis (art. 15, inc. e)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9AA9B8"/>
          <w:left w:val="single" w:sz="4" w:space="0" w:color="9AA9B8"/>
          <w:bottom w:val="single" w:sz="4" w:space="0" w:color="9AA9B8"/>
          <w:right w:val="single" w:sz="4" w:space="0" w:color="9AA9B8"/>
          <w:insideH w:val="single" w:sz="4" w:space="0" w:color="9AA9B8"/>
          <w:insideV w:val="single" w:sz="4" w:space="0" w:color="9AA9B8"/>
        </w:tblBorders>
        <w:tblLayout w:type="fixed"/>
      </w:tblPr>
      <w:tblGrid>
        <w:gridCol w:w="3289"/>
        <w:gridCol w:w="3289"/>
        <w:gridCol w:w="3289"/>
      </w:tblGrid>
      <w:tr>
        <w:tc>
          <w:tcPr>
            <w:tcW w:type="dxa" w:w="3969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Dato</w:t>
            </w:r>
          </w:p>
        </w:tc>
        <w:tc>
          <w:tcPr>
            <w:tcW w:type="dxa" w:w="2608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¿Refiere?</w:t>
            </w:r>
          </w:p>
        </w:tc>
        <w:tc>
          <w:tcPr>
            <w:tcW w:type="dxa" w:w="3288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trHeight w:val="567" w:hRule="atLeast"/>
        </w:trPr>
        <w:tc>
          <w:tcPr>
            <w:tcW w:type="dxa" w:w="3969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7"/>
              </w:rPr>
              <w:t>Enfermedades sistémicas (cardiovasculares, diabetes, hipertensión, hepáticas, renales, respiratorias, tiroideas, de la coagulación, otras)</w:t>
            </w:r>
          </w:p>
        </w:tc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7"/>
              </w:rPr>
              <w:t>☐ Sí   ☐ No   ☐ No sabe</w:t>
            </w:r>
          </w:p>
        </w:tc>
        <w:tc>
          <w:tcPr>
            <w:tcW w:type="dxa" w:w="328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67" w:hRule="atLeast"/>
        </w:trPr>
        <w:tc>
          <w:tcPr>
            <w:tcW w:type="dxa" w:w="3969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7"/>
              </w:rPr>
              <w:t>Medicación actual (nombre y, si la conoce, dosis)</w:t>
            </w:r>
          </w:p>
        </w:tc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7"/>
              </w:rPr>
              <w:t>☐ Sí   ☐ No   ☐ No sabe</w:t>
            </w:r>
          </w:p>
        </w:tc>
        <w:tc>
          <w:tcPr>
            <w:tcW w:type="dxa" w:w="328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67" w:hRule="atLeast"/>
        </w:trPr>
        <w:tc>
          <w:tcPr>
            <w:tcW w:type="dxa" w:w="3969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7"/>
              </w:rPr>
              <w:t>Alergias (medicamentos, látex, anestésicos, otros materiales)</w:t>
            </w:r>
          </w:p>
        </w:tc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7"/>
              </w:rPr>
              <w:t>☐ Sí   ☐ No   ☐ No sabe</w:t>
            </w:r>
          </w:p>
        </w:tc>
        <w:tc>
          <w:tcPr>
            <w:tcW w:type="dxa" w:w="328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67" w:hRule="atLeast"/>
        </w:trPr>
        <w:tc>
          <w:tcPr>
            <w:tcW w:type="dxa" w:w="3969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7"/>
              </w:rPr>
              <w:t>Cirugías o internaciones previas</w:t>
            </w:r>
          </w:p>
        </w:tc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7"/>
              </w:rPr>
              <w:t>☐ Sí   ☐ No   ☐ No sabe</w:t>
            </w:r>
          </w:p>
        </w:tc>
        <w:tc>
          <w:tcPr>
            <w:tcW w:type="dxa" w:w="328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67" w:hRule="atLeast"/>
        </w:trPr>
        <w:tc>
          <w:tcPr>
            <w:tcW w:type="dxa" w:w="3969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7"/>
              </w:rPr>
              <w:t>Hábitos (tabaco, alcohol, bruxismo, onicofagia, otros)</w:t>
            </w:r>
          </w:p>
        </w:tc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7"/>
              </w:rPr>
              <w:t>☐ Sí   ☐ No   ☐ No sabe</w:t>
            </w:r>
          </w:p>
        </w:tc>
        <w:tc>
          <w:tcPr>
            <w:tcW w:type="dxa" w:w="328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67" w:hRule="atLeast"/>
        </w:trPr>
        <w:tc>
          <w:tcPr>
            <w:tcW w:type="dxa" w:w="3969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7"/>
              </w:rPr>
              <w:t>Antecedentes familiares relevantes</w:t>
            </w:r>
          </w:p>
        </w:tc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7"/>
              </w:rPr>
              <w:t>☐ Sí   ☐ No   ☐ No sabe</w:t>
            </w:r>
          </w:p>
        </w:tc>
        <w:tc>
          <w:tcPr>
            <w:tcW w:type="dxa" w:w="328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67" w:hRule="atLeast"/>
        </w:trPr>
        <w:tc>
          <w:tcPr>
            <w:tcW w:type="dxa" w:w="3969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7"/>
              </w:rPr>
              <w:t>Embarazo o lactancia</w:t>
            </w:r>
          </w:p>
        </w:tc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7"/>
              </w:rPr>
              <w:t>☐ Sí   ☐ No   ☐ No corresponde</w:t>
            </w:r>
          </w:p>
        </w:tc>
        <w:tc>
          <w:tcPr>
            <w:tcW w:type="dxa" w:w="328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67" w:hRule="atLeast"/>
        </w:trPr>
        <w:tc>
          <w:tcPr>
            <w:tcW w:type="dxa" w:w="3969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7"/>
              </w:rPr>
              <w:t>Antecedentes odontológicos (última consulta, traumatismos, reacciones a la anestesia)</w:t>
            </w:r>
          </w:p>
        </w:tc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7"/>
              </w:rPr>
              <w:t>☐ Sí   ☐ No   ☐ No sabe</w:t>
            </w:r>
          </w:p>
        </w:tc>
        <w:tc>
          <w:tcPr>
            <w:tcW w:type="dxa" w:w="328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before="40" w:after="40"/>
      </w:pPr>
      <w:r>
        <w:rPr>
          <w:i/>
          <w:color w:val="555555"/>
          <w:sz w:val="16"/>
        </w:rPr>
        <w:t>Aclarar «no refiere» o «no sabe» en lugar de dejar un campo vacío: un campo vacío no distingue entre lo que no existe y lo que no se preguntó. La lista es orientativa; el profesional decide qué preguntar.</w:t>
      </w:r>
    </w:p>
    <w:p>
      <w:pPr>
        <w:keepNext/>
        <w:spacing w:before="200" w:after="60"/>
        <w:pBdr>
          <w:bottom w:val="single" w:sz="6" w:space="1" w:color="1F4E79"/>
        </w:pBdr>
      </w:pPr>
      <w:r>
        <w:rPr>
          <w:b/>
          <w:color w:val="1F4E79"/>
          <w:sz w:val="22"/>
        </w:rPr>
        <w:t>6. Examen clínico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9AA9B8"/>
          <w:left w:val="single" w:sz="4" w:space="0" w:color="9AA9B8"/>
          <w:bottom w:val="single" w:sz="4" w:space="0" w:color="9AA9B8"/>
          <w:right w:val="single" w:sz="4" w:space="0" w:color="9AA9B8"/>
          <w:insideH w:val="single" w:sz="4" w:space="0" w:color="9AA9B8"/>
          <w:insideV w:val="single" w:sz="4" w:space="0" w:color="9AA9B8"/>
        </w:tblBorders>
        <w:tblLayout w:type="fixed"/>
      </w:tblPr>
      <w:tblGrid>
        <w:gridCol w:w="9866"/>
      </w:tblGrid>
      <w:tr>
        <w:tc>
          <w:tcPr>
            <w:tcW w:type="dxa" w:w="9865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Examen extraoral (cara, cuello, ganglios, articulación temporomandibular)</w:t>
            </w:r>
          </w:p>
        </w:tc>
      </w:tr>
      <w:tr>
        <w:trPr>
          <w:trHeight w:val="1049" w:hRule="atLeast"/>
        </w:trPr>
        <w:tc>
          <w:tcPr>
            <w:tcW w:type="dxa" w:w="986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9865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Examen intraoral (mucosas, encías y periodonto, lengua, paladar, higiene)</w:t>
            </w:r>
          </w:p>
        </w:tc>
      </w:tr>
      <w:tr>
        <w:trPr>
          <w:trHeight w:val="1361" w:hRule="atLeast"/>
        </w:trPr>
        <w:tc>
          <w:tcPr>
            <w:tcW w:type="dxa" w:w="986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9865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Oclusión y observaciones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keepNext/>
        <w:spacing w:before="200" w:after="60"/>
        <w:pBdr>
          <w:bottom w:val="single" w:sz="6" w:space="1" w:color="1F4E79"/>
        </w:pBdr>
      </w:pPr>
      <w:r>
        <w:rPr>
          <w:b/>
          <w:color w:val="1F4E79"/>
          <w:sz w:val="22"/>
        </w:rPr>
        <w:t>7. Registro odontológico: odontograma inicial (art. 15, inc. f)</w:t>
      </w:r>
    </w:p>
    <w:p>
      <w:pPr>
        <w:spacing w:before="40" w:after="40"/>
      </w:pPr>
      <w:r>
        <w:rPr>
          <w:i/>
          <w:color w:val="555555"/>
          <w:sz w:val="16"/>
        </w:rPr>
        <w:t>El artículo 15 pide individualizar las piezas dentales de forma estandarizada según el sistema dígito dos (numeración FDI), con el sistema de marcación y colores que establezca la reglamentación vigente. Vista frontal: el lado derecho del paciente queda a la izquierda del dibujo. Registrar el estado con que llega el paciente, no los tratamientos planificados.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7A8A99"/>
          <w:left w:val="single" w:sz="4" w:space="0" w:color="7A8A99"/>
          <w:bottom w:val="single" w:sz="4" w:space="0" w:color="7A8A99"/>
          <w:right w:val="single" w:sz="4" w:space="0" w:color="7A8A99"/>
          <w:insideH w:val="single" w:sz="4" w:space="0" w:color="7A8A99"/>
          <w:insideV w:val="single" w:sz="4" w:space="0" w:color="7A8A99"/>
        </w:tblBorders>
        <w:tblLayout w:type="fixed"/>
      </w:tblPr>
      <w:tblGrid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>
        <w:trPr>
          <w:trHeight w:val="283" w:hRule="atLeast"/>
        </w:trPr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18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17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16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15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14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13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12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11</w:t>
            </w:r>
          </w:p>
        </w:tc>
        <w:tc>
          <w:tcPr>
            <w:tcW w:type="dxa" w:w="198"/>
            <w:shd w:val="clear" w:color="auto" w:fill="FFFFFF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21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22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23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24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25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26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27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28</w:t>
            </w:r>
          </w:p>
        </w:tc>
      </w:tr>
      <w:tr>
        <w:trPr>
          <w:trHeight w:val="567" w:hRule="atLeast"/>
        </w:trPr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"/>
            <w:shd w:val="clear" w:color="auto" w:fill="FFFFFF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  <w:r>
        <w:rPr>
          <w:sz w:val="15"/>
        </w:rPr>
        <w:t>Maxilar superior · dentición permanente (lado derecho del paciente a la izquierda)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7A8A99"/>
          <w:left w:val="single" w:sz="4" w:space="0" w:color="7A8A99"/>
          <w:bottom w:val="single" w:sz="4" w:space="0" w:color="7A8A99"/>
          <w:right w:val="single" w:sz="4" w:space="0" w:color="7A8A99"/>
          <w:insideH w:val="single" w:sz="4" w:space="0" w:color="7A8A99"/>
          <w:insideV w:val="single" w:sz="4" w:space="0" w:color="7A8A99"/>
        </w:tblBorders>
        <w:tblLayout w:type="fixed"/>
      </w:tblPr>
      <w:tblGrid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>
        <w:trPr>
          <w:trHeight w:val="567" w:hRule="atLeast"/>
        </w:trPr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"/>
            <w:shd w:val="clear" w:color="auto" w:fill="FFFFFF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283" w:hRule="atLeast"/>
        </w:trPr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48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47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46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45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44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43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42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41</w:t>
            </w:r>
          </w:p>
        </w:tc>
        <w:tc>
          <w:tcPr>
            <w:tcW w:type="dxa" w:w="198"/>
            <w:shd w:val="clear" w:color="auto" w:fill="FFFFFF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31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32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33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34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35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36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37</w:t>
            </w:r>
          </w:p>
        </w:tc>
        <w:tc>
          <w:tcPr>
            <w:tcW w:type="dxa" w:w="604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38</w:t>
            </w:r>
          </w:p>
        </w:tc>
      </w:tr>
    </w:tbl>
    <w:p>
      <w:pPr>
        <w:spacing w:after="40"/>
      </w:pPr>
      <w:r>
        <w:rPr>
          <w:sz w:val="15"/>
        </w:rPr>
        <w:t>Maxilar inferior · dentición permanente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7A8A99"/>
          <w:left w:val="single" w:sz="4" w:space="0" w:color="7A8A99"/>
          <w:bottom w:val="single" w:sz="4" w:space="0" w:color="7A8A99"/>
          <w:right w:val="single" w:sz="4" w:space="0" w:color="7A8A99"/>
          <w:insideH w:val="single" w:sz="4" w:space="0" w:color="7A8A99"/>
          <w:insideV w:val="single" w:sz="4" w:space="0" w:color="7A8A99"/>
        </w:tblBorders>
        <w:tblLayout w:type="fixed"/>
      </w:tblPr>
      <w:tblGrid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</w:tblGrid>
      <w:tr>
        <w:trPr>
          <w:trHeight w:val="283" w:hRule="atLeast"/>
        </w:trPr>
        <w:tc>
          <w:tcPr>
            <w:tcW w:type="dxa" w:w="967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55</w:t>
            </w:r>
          </w:p>
        </w:tc>
        <w:tc>
          <w:tcPr>
            <w:tcW w:type="dxa" w:w="967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54</w:t>
            </w:r>
          </w:p>
        </w:tc>
        <w:tc>
          <w:tcPr>
            <w:tcW w:type="dxa" w:w="967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53</w:t>
            </w:r>
          </w:p>
        </w:tc>
        <w:tc>
          <w:tcPr>
            <w:tcW w:type="dxa" w:w="967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52</w:t>
            </w:r>
          </w:p>
        </w:tc>
        <w:tc>
          <w:tcPr>
            <w:tcW w:type="dxa" w:w="967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51</w:t>
            </w:r>
          </w:p>
        </w:tc>
        <w:tc>
          <w:tcPr>
            <w:tcW w:type="dxa" w:w="198"/>
            <w:shd w:val="clear" w:color="auto" w:fill="FFFFFF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67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61</w:t>
            </w:r>
          </w:p>
        </w:tc>
        <w:tc>
          <w:tcPr>
            <w:tcW w:type="dxa" w:w="967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62</w:t>
            </w:r>
          </w:p>
        </w:tc>
        <w:tc>
          <w:tcPr>
            <w:tcW w:type="dxa" w:w="967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63</w:t>
            </w:r>
          </w:p>
        </w:tc>
        <w:tc>
          <w:tcPr>
            <w:tcW w:type="dxa" w:w="967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64</w:t>
            </w:r>
          </w:p>
        </w:tc>
        <w:tc>
          <w:tcPr>
            <w:tcW w:type="dxa" w:w="967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65</w:t>
            </w:r>
          </w:p>
        </w:tc>
      </w:tr>
      <w:tr>
        <w:trPr>
          <w:trHeight w:val="567" w:hRule="atLeast"/>
        </w:trPr>
        <w:tc>
          <w:tcPr>
            <w:tcW w:type="dxa" w:w="96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6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6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6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6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"/>
            <w:shd w:val="clear" w:color="auto" w:fill="FFFFFF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6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6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6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6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6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  <w:r>
        <w:rPr>
          <w:sz w:val="15"/>
        </w:rPr>
        <w:t>Maxilar superior · dentición temporal (completar solo si corresponde)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7A8A99"/>
          <w:left w:val="single" w:sz="4" w:space="0" w:color="7A8A99"/>
          <w:bottom w:val="single" w:sz="4" w:space="0" w:color="7A8A99"/>
          <w:right w:val="single" w:sz="4" w:space="0" w:color="7A8A99"/>
          <w:insideH w:val="single" w:sz="4" w:space="0" w:color="7A8A99"/>
          <w:insideV w:val="single" w:sz="4" w:space="0" w:color="7A8A99"/>
        </w:tblBorders>
        <w:tblLayout w:type="fixed"/>
      </w:tblPr>
      <w:tblGrid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</w:tblGrid>
      <w:tr>
        <w:trPr>
          <w:trHeight w:val="567" w:hRule="atLeast"/>
        </w:trPr>
        <w:tc>
          <w:tcPr>
            <w:tcW w:type="dxa" w:w="96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6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6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6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6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"/>
            <w:shd w:val="clear" w:color="auto" w:fill="FFFFFF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6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6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6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6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6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283" w:hRule="atLeast"/>
        </w:trPr>
        <w:tc>
          <w:tcPr>
            <w:tcW w:type="dxa" w:w="967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85</w:t>
            </w:r>
          </w:p>
        </w:tc>
        <w:tc>
          <w:tcPr>
            <w:tcW w:type="dxa" w:w="967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84</w:t>
            </w:r>
          </w:p>
        </w:tc>
        <w:tc>
          <w:tcPr>
            <w:tcW w:type="dxa" w:w="967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83</w:t>
            </w:r>
          </w:p>
        </w:tc>
        <w:tc>
          <w:tcPr>
            <w:tcW w:type="dxa" w:w="967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82</w:t>
            </w:r>
          </w:p>
        </w:tc>
        <w:tc>
          <w:tcPr>
            <w:tcW w:type="dxa" w:w="967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81</w:t>
            </w:r>
          </w:p>
        </w:tc>
        <w:tc>
          <w:tcPr>
            <w:tcW w:type="dxa" w:w="198"/>
            <w:shd w:val="clear" w:color="auto" w:fill="FFFFFF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67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71</w:t>
            </w:r>
          </w:p>
        </w:tc>
        <w:tc>
          <w:tcPr>
            <w:tcW w:type="dxa" w:w="967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72</w:t>
            </w:r>
          </w:p>
        </w:tc>
        <w:tc>
          <w:tcPr>
            <w:tcW w:type="dxa" w:w="967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73</w:t>
            </w:r>
          </w:p>
        </w:tc>
        <w:tc>
          <w:tcPr>
            <w:tcW w:type="dxa" w:w="967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74</w:t>
            </w:r>
          </w:p>
        </w:tc>
        <w:tc>
          <w:tcPr>
            <w:tcW w:type="dxa" w:w="967"/>
            <w:shd w:val="clear" w:color="auto" w:fill="EAF1F8"/>
          </w:tcPr>
          <w:p>
            <w:pPr>
              <w:spacing w:after="20" w:before="20"/>
              <w:jc w:val="center"/>
            </w:pPr>
            <w:r/>
            <w:r>
              <w:rPr>
                <w:b/>
                <w:i w:val="0"/>
                <w:sz w:val="15"/>
              </w:rPr>
              <w:t>75</w:t>
            </w:r>
          </w:p>
        </w:tc>
      </w:tr>
    </w:tbl>
    <w:p>
      <w:pPr>
        <w:spacing w:after="40"/>
      </w:pPr>
      <w:r>
        <w:rPr>
          <w:sz w:val="15"/>
        </w:rPr>
        <w:t>Maxilar inferior · dentición temporal</w:t>
      </w:r>
    </w:p>
    <w:p>
      <w:pPr>
        <w:keepNext/>
        <w:spacing w:before="120" w:after="40"/>
      </w:pPr>
      <w:r>
        <w:rPr>
          <w:b/>
          <w:color w:val="1F4E79"/>
          <w:sz w:val="19"/>
        </w:rPr>
        <w:t>Observaciones por pieza del odontograma inicial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9AA9B8"/>
          <w:left w:val="single" w:sz="4" w:space="0" w:color="9AA9B8"/>
          <w:bottom w:val="single" w:sz="4" w:space="0" w:color="9AA9B8"/>
          <w:right w:val="single" w:sz="4" w:space="0" w:color="9AA9B8"/>
          <w:insideH w:val="single" w:sz="4" w:space="0" w:color="9AA9B8"/>
          <w:insideV w:val="single" w:sz="4" w:space="0" w:color="9AA9B8"/>
        </w:tblBorders>
        <w:tblLayout w:type="fixed"/>
      </w:tblPr>
      <w:tblGrid>
        <w:gridCol w:w="2466"/>
        <w:gridCol w:w="2466"/>
        <w:gridCol w:w="2466"/>
        <w:gridCol w:w="2466"/>
      </w:tblGrid>
      <w:tr>
        <w:tc>
          <w:tcPr>
            <w:tcW w:type="dxa" w:w="1247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Pieza</w:t>
            </w:r>
          </w:p>
        </w:tc>
        <w:tc>
          <w:tcPr>
            <w:tcW w:type="dxa" w:w="1587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Cara(s)</w:t>
            </w:r>
          </w:p>
        </w:tc>
        <w:tc>
          <w:tcPr>
            <w:tcW w:type="dxa" w:w="2835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Hallazgo</w:t>
            </w:r>
          </w:p>
        </w:tc>
        <w:tc>
          <w:tcPr>
            <w:tcW w:type="dxa" w:w="3969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Observaciones</w:t>
            </w:r>
          </w:p>
        </w:tc>
      </w:tr>
      <w:tr>
        <w:trPr>
          <w:trHeight w:val="454" w:hRule="atLeast"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keepNext/>
        <w:spacing w:before="200" w:after="60"/>
        <w:pBdr>
          <w:bottom w:val="single" w:sz="6" w:space="1" w:color="1F4E79"/>
        </w:pBdr>
      </w:pPr>
      <w:r>
        <w:rPr>
          <w:b/>
          <w:color w:val="1F4E79"/>
          <w:sz w:val="22"/>
        </w:rPr>
        <w:t>8. Estudios complementarios y fotografías (art. 15, inc. g y art. 16)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9AA9B8"/>
          <w:left w:val="single" w:sz="4" w:space="0" w:color="9AA9B8"/>
          <w:bottom w:val="single" w:sz="4" w:space="0" w:color="9AA9B8"/>
          <w:right w:val="single" w:sz="4" w:space="0" w:color="9AA9B8"/>
          <w:insideH w:val="single" w:sz="4" w:space="0" w:color="9AA9B8"/>
          <w:insideV w:val="single" w:sz="4" w:space="0" w:color="9AA9B8"/>
        </w:tblBorders>
        <w:tblLayout w:type="fixed"/>
      </w:tblPr>
      <w:tblGrid>
        <w:gridCol w:w="2466"/>
        <w:gridCol w:w="2466"/>
        <w:gridCol w:w="2466"/>
        <w:gridCol w:w="2466"/>
      </w:tblGrid>
      <w:tr>
        <w:tc>
          <w:tcPr>
            <w:tcW w:type="dxa" w:w="2608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Estudio o fotografía</w:t>
            </w:r>
          </w:p>
        </w:tc>
        <w:tc>
          <w:tcPr>
            <w:tcW w:type="dxa" w:w="1361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2494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Indicado / realizado / rechazado</w:t>
            </w:r>
          </w:p>
        </w:tc>
        <w:tc>
          <w:tcPr>
            <w:tcW w:type="dxa" w:w="3175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Resultado o ubicación del archivo</w:t>
            </w:r>
          </w:p>
        </w:tc>
      </w:tr>
      <w:tr>
        <w:trPr>
          <w:trHeight w:val="454" w:hRule="atLeast"/>
        </w:trPr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9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9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9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9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9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9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keepNext/>
        <w:spacing w:before="200" w:after="60"/>
        <w:pBdr>
          <w:bottom w:val="single" w:sz="6" w:space="1" w:color="1F4E79"/>
        </w:pBdr>
      </w:pPr>
      <w:r>
        <w:rPr>
          <w:b/>
          <w:color w:val="1F4E79"/>
          <w:sz w:val="22"/>
        </w:rPr>
        <w:t>9. Diagnóstico y pronóstico (art. 15, inc. g)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9AA9B8"/>
          <w:left w:val="single" w:sz="4" w:space="0" w:color="9AA9B8"/>
          <w:bottom w:val="single" w:sz="4" w:space="0" w:color="9AA9B8"/>
          <w:right w:val="single" w:sz="4" w:space="0" w:color="9AA9B8"/>
          <w:insideH w:val="single" w:sz="4" w:space="0" w:color="9AA9B8"/>
          <w:insideV w:val="single" w:sz="4" w:space="0" w:color="9AA9B8"/>
        </w:tblBorders>
        <w:tblLayout w:type="fixed"/>
      </w:tblPr>
      <w:tblGrid>
        <w:gridCol w:w="9866"/>
      </w:tblGrid>
      <w:tr>
        <w:tc>
          <w:tcPr>
            <w:tcW w:type="dxa" w:w="9865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Diagnóstico presuntivo</w:t>
            </w:r>
          </w:p>
        </w:tc>
      </w:tr>
      <w:tr>
        <w:trPr>
          <w:trHeight w:val="1049" w:hRule="atLeast"/>
        </w:trPr>
        <w:tc>
          <w:tcPr>
            <w:tcW w:type="dxa" w:w="986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9865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Diagnóstico de certeza (cuando corresponda)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9865"/>
            <w:shd w:val="clear" w:color="auto" w:fill="EAF1F8"/>
          </w:tcPr>
          <w:p>
            <w:pPr>
              <w:spacing w:after="20" w:before="20"/>
            </w:pPr>
            <w:r/>
            <w:r>
              <w:rPr>
                <w:b/>
                <w:i w:val="0"/>
                <w:sz w:val="17"/>
              </w:rPr>
              <w:t>Pronóstico</w:t>
            </w:r>
          </w:p>
        </w:tc>
      </w:tr>
      <w:tr>
        <w:trPr>
          <w:trHeight w:val="737" w:hRule="atLeast"/>
        </w:trPr>
        <w:tc>
          <w:tcPr>
            <w:tcW w:type="dxa" w:w="986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keepNext/>
        <w:spacing w:before="200" w:after="60"/>
        <w:pBdr>
          <w:bottom w:val="single" w:sz="6" w:space="1" w:color="1F4E79"/>
        </w:pBdr>
      </w:pPr>
      <w:r>
        <w:rPr>
          <w:b/>
          <w:color w:val="1F4E79"/>
          <w:sz w:val="22"/>
        </w:rPr>
        <w:t>10. Plan de tratamiento acordado con el paciente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9AA9B8"/>
          <w:left w:val="single" w:sz="4" w:space="0" w:color="9AA9B8"/>
          <w:bottom w:val="single" w:sz="4" w:space="0" w:color="9AA9B8"/>
          <w:right w:val="single" w:sz="4" w:space="0" w:color="9AA9B8"/>
          <w:insideH w:val="single" w:sz="4" w:space="0" w:color="9AA9B8"/>
          <w:insideV w:val="single" w:sz="4" w:space="0" w:color="9AA9B8"/>
        </w:tblBorders>
        <w:tblLayout w:type="fixed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680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N.º</w:t>
            </w:r>
          </w:p>
        </w:tc>
        <w:tc>
          <w:tcPr>
            <w:tcW w:type="dxa" w:w="1020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Pieza</w:t>
            </w:r>
          </w:p>
        </w:tc>
        <w:tc>
          <w:tcPr>
            <w:tcW w:type="dxa" w:w="4535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Acto o tratamiento</w:t>
            </w:r>
          </w:p>
        </w:tc>
        <w:tc>
          <w:tcPr>
            <w:tcW w:type="dxa" w:w="1701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Prioridad</w:t>
            </w:r>
          </w:p>
        </w:tc>
        <w:tc>
          <w:tcPr>
            <w:tcW w:type="dxa" w:w="2268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Estado</w:t>
            </w:r>
          </w:p>
        </w:tc>
      </w:tr>
      <w:tr>
        <w:trPr>
          <w:trHeight w:val="454" w:hRule="atLeast"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keepNext/>
        <w:spacing w:before="200" w:after="60"/>
        <w:pBdr>
          <w:bottom w:val="single" w:sz="6" w:space="1" w:color="1F4E79"/>
        </w:pBdr>
      </w:pPr>
      <w:r>
        <w:rPr>
          <w:b/>
          <w:color w:val="1F4E79"/>
          <w:sz w:val="22"/>
        </w:rPr>
        <w:t>11. Consentimientos informados (art. 16)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9AA9B8"/>
          <w:left w:val="single" w:sz="4" w:space="0" w:color="9AA9B8"/>
          <w:bottom w:val="single" w:sz="4" w:space="0" w:color="9AA9B8"/>
          <w:right w:val="single" w:sz="4" w:space="0" w:color="9AA9B8"/>
          <w:insideH w:val="single" w:sz="4" w:space="0" w:color="9AA9B8"/>
          <w:insideV w:val="single" w:sz="4" w:space="0" w:color="9AA9B8"/>
        </w:tblBorders>
        <w:tblLayout w:type="fixed"/>
      </w:tblPr>
      <w:tblGrid>
        <w:gridCol w:w="2466"/>
        <w:gridCol w:w="2466"/>
        <w:gridCol w:w="2466"/>
        <w:gridCol w:w="2466"/>
      </w:tblGrid>
      <w:tr>
        <w:tc>
          <w:tcPr>
            <w:tcW w:type="dxa" w:w="3175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Procedimiento</w:t>
            </w:r>
          </w:p>
        </w:tc>
        <w:tc>
          <w:tcPr>
            <w:tcW w:type="dxa" w:w="1361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2835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Firmado por (paciente o representante)</w:t>
            </w:r>
          </w:p>
        </w:tc>
        <w:tc>
          <w:tcPr>
            <w:tcW w:type="dxa" w:w="2268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Observaciones</w:t>
            </w:r>
          </w:p>
        </w:tc>
      </w:tr>
      <w:tr>
        <w:trPr>
          <w:trHeight w:val="454" w:hRule="atLeast"/>
        </w:trPr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keepNext/>
        <w:spacing w:before="200" w:after="60"/>
        <w:pBdr>
          <w:bottom w:val="single" w:sz="6" w:space="1" w:color="1F4E79"/>
        </w:pBdr>
      </w:pPr>
      <w:r>
        <w:rPr>
          <w:b/>
          <w:color w:val="1F4E79"/>
          <w:sz w:val="22"/>
        </w:rPr>
        <w:t>12. Evolución: registro cronológico de los actos realizados (art. 15, inc. d y g)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9AA9B8"/>
          <w:left w:val="single" w:sz="4" w:space="0" w:color="9AA9B8"/>
          <w:bottom w:val="single" w:sz="4" w:space="0" w:color="9AA9B8"/>
          <w:right w:val="single" w:sz="4" w:space="0" w:color="9AA9B8"/>
          <w:insideH w:val="single" w:sz="4" w:space="0" w:color="9AA9B8"/>
          <w:insideV w:val="single" w:sz="4" w:space="0" w:color="9AA9B8"/>
        </w:tblBorders>
        <w:tblLayout w:type="fixed"/>
      </w:tblPr>
      <w:tblGrid>
        <w:gridCol w:w="2466"/>
        <w:gridCol w:w="2466"/>
        <w:gridCol w:w="2466"/>
        <w:gridCol w:w="2466"/>
      </w:tblGrid>
      <w:tr>
        <w:tc>
          <w:tcPr>
            <w:tcW w:type="dxa" w:w="1247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1814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Profesional</w:t>
            </w:r>
          </w:p>
        </w:tc>
        <w:tc>
          <w:tcPr>
            <w:tcW w:type="dxa" w:w="4876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Acto realizado, indicaciones y evolución</w:t>
            </w:r>
          </w:p>
        </w:tc>
        <w:tc>
          <w:tcPr>
            <w:tcW w:type="dxa" w:w="1701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Firma y sello</w:t>
            </w:r>
          </w:p>
        </w:tc>
      </w:tr>
      <w:tr>
        <w:trPr>
          <w:trHeight w:val="454" w:hRule="atLeast"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before="40" w:after="40"/>
      </w:pPr>
      <w:r>
        <w:rPr>
          <w:i/>
          <w:color w:val="555555"/>
          <w:sz w:val="16"/>
        </w:rPr>
        <w:t>Registros claros y precisos: que otro profesional pueda entender qué se hizo, por qué, con qué indicaciones y cuándo. La ley no fija una extensión mínima.</w:t>
      </w:r>
    </w:p>
    <w:p>
      <w:pPr>
        <w:keepNext/>
        <w:spacing w:before="200" w:after="60"/>
        <w:pBdr>
          <w:bottom w:val="single" w:sz="6" w:space="1" w:color="1F4E79"/>
        </w:pBdr>
      </w:pPr>
      <w:r>
        <w:rPr>
          <w:b/>
          <w:color w:val="1F4E79"/>
          <w:sz w:val="22"/>
        </w:rPr>
        <w:t>13. Control de actualización de antecedentes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9AA9B8"/>
          <w:left w:val="single" w:sz="4" w:space="0" w:color="9AA9B8"/>
          <w:bottom w:val="single" w:sz="4" w:space="0" w:color="9AA9B8"/>
          <w:right w:val="single" w:sz="4" w:space="0" w:color="9AA9B8"/>
          <w:insideH w:val="single" w:sz="4" w:space="0" w:color="9AA9B8"/>
          <w:insideV w:val="single" w:sz="4" w:space="0" w:color="9AA9B8"/>
        </w:tblBorders>
        <w:tblLayout w:type="fixed"/>
      </w:tblPr>
      <w:tblGrid>
        <w:gridCol w:w="3289"/>
        <w:gridCol w:w="3289"/>
        <w:gridCol w:w="3289"/>
      </w:tblGrid>
      <w:tr>
        <w:tc>
          <w:tcPr>
            <w:tcW w:type="dxa" w:w="1361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6236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Qué cambió (salud, medicación, alergias, embarazo)</w:t>
            </w:r>
          </w:p>
        </w:tc>
        <w:tc>
          <w:tcPr>
            <w:tcW w:type="dxa" w:w="2041"/>
            <w:shd w:val="clear" w:color="auto" w:fill="1F4E79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FFFFFF"/>
                <w:sz w:val="17"/>
              </w:rPr>
              <w:t>Registrado por</w:t>
            </w:r>
          </w:p>
        </w:tc>
      </w:tr>
      <w:tr>
        <w:trPr>
          <w:trHeight w:val="454" w:hRule="atLeast"/>
        </w:trPr>
        <w:tc>
          <w:tcPr>
            <w:tcW w:type="dxa" w:w="136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236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136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236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136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236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136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236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136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236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 w:hRule="atLeast"/>
        </w:trPr>
        <w:tc>
          <w:tcPr>
            <w:tcW w:type="dxa" w:w="136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236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before="40" w:after="40"/>
      </w:pPr>
      <w:r>
        <w:rPr>
          <w:i/>
          <w:color w:val="555555"/>
          <w:sz w:val="16"/>
        </w:rPr>
        <w:t>Práctica recomendada por la Asociación Dental Americana (ADA, EE. UU.): revisar la historia de salud de los pacientes activos en cada visita y completar un formulario nuevo cada dos años. No es una obligación legal argentina.</w:t>
      </w:r>
    </w:p>
    <w:p>
      <w:pPr>
        <w:spacing w:before="40" w:after="40"/>
      </w:pPr>
      <w:r>
        <w:rPr>
          <w:i/>
          <w:color w:val="555555"/>
          <w:sz w:val="16"/>
        </w:rPr>
        <w:t>Guarda y custodia: el artículo 18 de la Ley 26.529 establece que la historia clínica es inviolable, que sus depositarios deben evitar el acceso de personas no autorizadas y fija un mínimo de 10 años de conservación desde la última actuación registrada. Confirmá la normativa de tu jurisdicción con tu colegio profesional.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 xml:space="preserve">Modelo de DentalSoft · Versión 1.0 · noviembre de 2026 · Página </w:t>
    </w:r>
    <w:r>
      <w:rPr>
        <w:sz w:val="16"/>
      </w:rPr>
      <w:fldChar w:fldCharType="begin"/>
      <w:instrText xml:space="preserve">PAGE</w:instrText>
      <w:fldChar w:fldCharType="end"/>
    </w:r>
    <w:r>
      <w:rPr>
        <w:color w:val="555555"/>
        <w:sz w:val="16"/>
      </w:rPr>
      <w:t xml:space="preserve"> de </w:t>
    </w:r>
    <w:r>
      <w:rPr>
        <w:sz w:val="16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  <w:r>
      <w:rPr>
        <w:color w:val="555555"/>
        <w:sz w:val="16"/>
      </w:rPr>
      <w:t>Historia clínica odontológica · Paciente: ______________________________   Historia N.º: 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  <w:lang w:val="es-A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 clínica odontológica - Modelo editable para un paciente nuevo</dc:title>
  <dc:subject>Modelo de historia clínica odontológica</dc:subject>
  <dc:creator>DentalSoft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es-AR</dc:language>
</cp:coreProperties>
</file>